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触摸屏和PLC或者单片机通讯</w:t>
      </w:r>
      <w:r>
        <w:rPr>
          <w:rFonts w:hint="eastAsia"/>
          <w:b/>
          <w:bCs/>
          <w:sz w:val="30"/>
          <w:szCs w:val="30"/>
          <w:lang w:val="en-US" w:eastAsia="zh-CN"/>
        </w:rPr>
        <w:t>连接注意事项</w:t>
      </w:r>
    </w:p>
    <w:p>
      <w:pPr>
        <w:jc w:val="center"/>
        <w:rPr>
          <w:rFonts w:hint="eastAsia"/>
          <w:b/>
          <w:bCs/>
          <w:lang w:val="en-US" w:eastAsia="zh-CN"/>
        </w:rPr>
      </w:pPr>
    </w:p>
    <w:p>
      <w:pPr>
        <w:jc w:val="center"/>
        <w:rPr>
          <w:rFonts w:hint="eastAsia"/>
          <w:b/>
          <w:bCs/>
        </w:rPr>
      </w:pPr>
    </w:p>
    <w:p>
      <w:pPr>
        <w:pStyle w:val="4"/>
        <w:tabs>
          <w:tab w:val="right" w:leader="dot" w:pos="974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TOC \o "1-3" \h \u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_Toc3804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bCs/>
          <w:sz w:val="28"/>
          <w:szCs w:val="28"/>
        </w:rPr>
        <w:t xml:space="preserve">协议 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4"/>
        <w:tabs>
          <w:tab w:val="right" w:leader="dot" w:pos="974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_Toc30921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2、通讯参数</w:t>
      </w:r>
      <w:r>
        <w:rPr>
          <w:rFonts w:hint="eastAsia" w:ascii="宋体" w:hAnsi="宋体" w:eastAsia="宋体" w:cs="宋体"/>
          <w:bCs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4"/>
        <w:tabs>
          <w:tab w:val="right" w:leader="dot" w:pos="974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_Toc2022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3、完成组态程序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触摸屏和PLC通信的前提条件有：协议、波特率、数据位、校验、停止位、通信方式、通信接线、触摸屏使用PLC寄存器这几大要点。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pStyle w:val="13"/>
        <w:numPr>
          <w:ilvl w:val="0"/>
          <w:numId w:val="0"/>
        </w:numPr>
        <w:spacing w:line="360" w:lineRule="auto"/>
        <w:ind w:leftChars="0"/>
        <w:outlineLvl w:val="0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0" w:name="_Toc380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协议：首先确认单片机/PLC是什么协议，比如MODBUS协议、三菱FX2N协议、西门子S7-200，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</w:rPr>
        <w:t>然后在触摸屏软件上设置与单片机/PLC相同的协议，如图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667250" cy="360172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8427" cy="361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3"/>
        <w:numPr>
          <w:ilvl w:val="0"/>
          <w:numId w:val="0"/>
        </w:numPr>
        <w:ind w:leftChars="0"/>
        <w:outlineLvl w:val="0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1" w:name="_Toc3092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了解单片机/PLC的波特率、数据位、校验、停止位和通信方式，然后在软件设置与之相同的参数，如下图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40400" cy="30270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pStyle w:val="13"/>
        <w:numPr>
          <w:ilvl w:val="0"/>
          <w:numId w:val="0"/>
        </w:numPr>
        <w:ind w:leftChars="0"/>
        <w:jc w:val="left"/>
        <w:outlineLvl w:val="0"/>
        <w:rPr>
          <w:rFonts w:hint="eastAsia" w:ascii="宋体" w:hAnsi="宋体" w:eastAsia="宋体" w:cs="宋体"/>
          <w:sz w:val="24"/>
          <w:szCs w:val="24"/>
        </w:rPr>
      </w:pPr>
      <w:bookmarkStart w:id="2" w:name="_Toc202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在触摸屏软件做组态程序，组态程序上的【控件】地址设置为PLC/单片机协议的地址，如图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40400" cy="35921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40400" cy="33312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40400" cy="35382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</w:rPr>
        <w:t>4、完成以上三点之后，用USB连接触摸屏和电脑，将软件的组态程序下载到触摸屏，并且根据通信方式RS232/RS485/RS422来接通信线，触摸屏针脚定义如下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283" w:footer="567" w:gutter="0"/>
          <w:cols w:space="0" w:num="1"/>
          <w:rtlGutter w:val="0"/>
          <w:docGrid w:type="lines" w:linePitch="312" w:charSpace="0"/>
        </w:sectPr>
      </w:pP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7寸屏（单串口只有COM1可用，双串口有COM1和COM2）</w:t>
      </w: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963035" cy="8001000"/>
            <wp:effectExtent l="0" t="0" r="18415" b="0"/>
            <wp:docPr id="1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374130" cy="7351395"/>
            <wp:effectExtent l="0" t="0" r="7620" b="1905"/>
            <wp:docPr id="1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4130" cy="735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14670" cy="8107680"/>
            <wp:effectExtent l="0" t="0" r="5080" b="7620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283" w:footer="567" w:gutter="0"/>
          <w:cols w:space="0" w:num="1"/>
          <w:rtlGutter w:val="0"/>
          <w:docGrid w:type="lines" w:linePitch="312" w:charSpace="0"/>
        </w:sectPr>
      </w:pP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10.1寸屏（单串口只有COM1可用，双串口有COM1和COM2）</w:t>
      </w: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976370" cy="7874000"/>
            <wp:effectExtent l="0" t="0" r="5080" b="12700"/>
            <wp:docPr id="1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787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875405" cy="7060565"/>
            <wp:effectExtent l="0" t="0" r="1079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br w:type="textWrapping"/>
      </w:r>
      <w:bookmarkEnd w:id="2"/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b/>
          <w:bCs/>
          <w:sz w:val="24"/>
          <w:szCs w:val="24"/>
        </w:rPr>
        <w:sectPr>
          <w:pgSz w:w="11906" w:h="16838"/>
          <w:pgMar w:top="1440" w:right="1080" w:bottom="1440" w:left="1080" w:header="283" w:footer="567" w:gutter="0"/>
          <w:cols w:space="0" w:num="1"/>
          <w:rtlGutter w:val="0"/>
          <w:docGrid w:type="lines" w:linePitch="312" w:charSpace="0"/>
        </w:sectPr>
      </w:pP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4.3寸裸屏（双串口，COM1-485,COM2-232通讯）</w:t>
      </w:r>
    </w:p>
    <w:p>
      <w:pPr>
        <w:pStyle w:val="13"/>
        <w:numPr>
          <w:ilvl w:val="0"/>
          <w:numId w:val="0"/>
        </w:numPr>
        <w:ind w:leftChars="0"/>
        <w:jc w:val="center"/>
        <w:outlineLvl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220720" cy="6742430"/>
            <wp:effectExtent l="0" t="0" r="1778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674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注意：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 1.RS232通讯和TTL通讯时，触摸屏的RXD接控制器TXD，触摸屏的TXD接控制器RXD。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 2.TTL通讯时，要保证电平为3.3V TTL，5V TTL长时间会损坏主控芯片。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 3.RS485通讯时，触摸屏的B/RXD接控制器485</w:t>
      </w:r>
      <w:bookmarkStart w:id="3" w:name="_GoBack"/>
      <w:bookmarkEnd w:id="3"/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</w:rPr>
        <w:t>B，触摸屏的A/TXD接控制器485A。</w:t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sectPr>
          <w:pgSz w:w="11906" w:h="16838"/>
          <w:pgMar w:top="1440" w:right="1080" w:bottom="1440" w:left="1080" w:header="283" w:footer="567" w:gutter="0"/>
          <w:cols w:space="0" w:num="1"/>
          <w:rtlGutter w:val="0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5寸裸屏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945255" cy="7952105"/>
            <wp:effectExtent l="0" t="0" r="17145" b="10795"/>
            <wp:docPr id="16" name="图片 16" descr="5寸裸屏-针角定义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寸裸屏-针角定义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638675" cy="6184900"/>
            <wp:effectExtent l="0" t="0" r="9525" b="6350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8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2.4寸/2.8寸/3.5寸串口屏通讯连接注意事项 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  1.1 TTL通讯时，触摸屏的RXD/TXD与控制器RXD/TXD需交叉连接。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  1.2 232通讯时，触摸屏的RXD/TXD与控制器RXD/TXD需交叉连接。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  1.3 485通讯时，触摸屏485B-/485A+与控制器485B-/485A+直联。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  1.4  不支持RS422通讯。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2.控制器和触摸屏的GND都需要接地，以免影响通讯。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3.TTL 通讯时RXD/TXD是3.3V电平；RS232/RS485通讯时触摸屏的RXD/TXD是5V 电平。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080" w:bottom="1440" w:left="1080" w:header="283" w:footer="567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asciiTheme="majorEastAsia" w:hAnsiTheme="majorEastAsia" w:eastAsiaTheme="majorEastAsia" w:cstheme="majorEastAsia"/>
        <w:b/>
        <w:bCs/>
        <w:sz w:val="18"/>
        <w:szCs w:val="18"/>
      </w:rPr>
    </w:pP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5791200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56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Zk/S11QAAAAkBAAAPAAAAAAAAAAEAIAAAACIAAABkcnMvZG93bnJl&#10;di54bWxQSwECFAAUAAAACACHTuJAq+AmajkCAABxBAAADgAAAAAAAAABACAAAAAk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第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1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t>官方网站：</w:t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fldChar w:fldCharType="begin"/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instrText xml:space="preserve"> HYPERLINK "http://www.kinseal.com" </w:instrText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fldChar w:fldCharType="separate"/>
    </w:r>
    <w:r>
      <w:rPr>
        <w:rStyle w:val="10"/>
        <w:rFonts w:hint="eastAsia" w:asciiTheme="majorEastAsia" w:hAnsiTheme="majorEastAsia" w:eastAsiaTheme="majorEastAsia" w:cstheme="majorEastAsia"/>
        <w:b/>
        <w:bCs/>
        <w:sz w:val="18"/>
        <w:szCs w:val="18"/>
      </w:rPr>
      <w:t>www.kinseal.com</w:t>
    </w:r>
    <w:r>
      <w:rPr>
        <w:rStyle w:val="10"/>
        <w:rFonts w:hint="eastAsia" w:asciiTheme="majorEastAsia" w:hAnsiTheme="majorEastAsia" w:eastAsiaTheme="majorEastAsia" w:cstheme="majorEastAsia"/>
        <w:b/>
        <w:bCs/>
        <w:sz w:val="18"/>
        <w:szCs w:val="18"/>
      </w:rPr>
      <w:fldChar w:fldCharType="end"/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t xml:space="preserve">                            </w:t>
    </w:r>
  </w:p>
  <w:p>
    <w:pPr>
      <w:pStyle w:val="2"/>
      <w:rPr>
        <w:rFonts w:hint="eastAsia" w:asciiTheme="majorEastAsia" w:hAnsiTheme="majorEastAsia" w:eastAsiaTheme="majorEastAsia" w:cstheme="majorEastAsia"/>
        <w:b/>
        <w:bCs/>
        <w:sz w:val="18"/>
        <w:szCs w:val="18"/>
      </w:rPr>
    </w:pPr>
    <w:r>
      <w:rPr>
        <w:rStyle w:val="12"/>
        <w:rFonts w:hint="eastAsia" w:asciiTheme="majorEastAsia" w:hAnsiTheme="majorEastAsia" w:eastAsiaTheme="majorEastAsia" w:cstheme="majorEastAsia"/>
        <w:b/>
        <w:bCs/>
        <w:sz w:val="18"/>
        <w:szCs w:val="18"/>
      </w:rPr>
      <w:t>致佳的</w:t>
    </w: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t>智能控制显示终端 让智能控制更简单！</w:t>
    </w:r>
  </w:p>
  <w:p>
    <w:pPr>
      <w:pStyle w:val="2"/>
      <w:rPr>
        <w:rFonts w:hint="eastAsia" w:asciiTheme="majorEastAsia" w:hAnsiTheme="majorEastAsia" w:eastAsiaTheme="majorEastAsia" w:cstheme="majorEastAsia"/>
        <w:b/>
        <w:bCs/>
        <w:sz w:val="18"/>
        <w:szCs w:val="18"/>
      </w:rPr>
    </w:pPr>
    <w:r>
      <w:rPr>
        <w:rFonts w:hint="eastAsia" w:asciiTheme="majorEastAsia" w:hAnsiTheme="majorEastAsia" w:eastAsiaTheme="majorEastAsia" w:cstheme="majorEastAsia"/>
        <w:b/>
        <w:bCs/>
        <w:sz w:val="18"/>
        <w:szCs w:val="18"/>
      </w:rPr>
      <w:t>技术热线：吴工（14704719971）、袁工（18682469902）、林工（14704750497）、陈工（18126349179）</w:t>
    </w:r>
  </w:p>
  <w:p>
    <w:pPr>
      <w:pStyle w:val="2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 xml:space="preserve">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pPr w:leftFromText="180" w:rightFromText="180" w:vertAnchor="page" w:horzAnchor="page" w:tblpX="973" w:tblpY="180"/>
      <w:tblOverlap w:val="never"/>
      <w:tblW w:w="9998" w:type="dxa"/>
      <w:tblInd w:w="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914"/>
      <w:gridCol w:w="3384"/>
      <w:gridCol w:w="2136"/>
      <w:gridCol w:w="2564"/>
    </w:tblGrid>
    <w:tr>
      <w:tblPrEx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97" w:hRule="atLeast"/>
      </w:trPr>
      <w:tc>
        <w:tcPr>
          <w:tcW w:w="1914" w:type="dxa"/>
          <w:vMerge w:val="restart"/>
          <w:vAlign w:val="center"/>
        </w:tcPr>
        <w:p>
          <w:pPr>
            <w:spacing w:line="360" w:lineRule="auto"/>
            <w:ind w:firstLine="2530" w:firstLineChars="1050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80010</wp:posOffset>
                </wp:positionV>
                <wp:extent cx="1167130" cy="463550"/>
                <wp:effectExtent l="0" t="0" r="13970" b="12700"/>
                <wp:wrapNone/>
                <wp:docPr id="19" name="图片 1" descr="公司logo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图片 1" descr="公司logo图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13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>
          <w:pPr>
            <w:spacing w:line="360" w:lineRule="auto"/>
            <w:ind w:firstLine="2530" w:firstLineChars="1050"/>
            <w:rPr>
              <w:rFonts w:ascii="宋体" w:hAnsi="宋体" w:cs="宋体"/>
              <w:b/>
              <w:bCs/>
              <w:sz w:val="24"/>
            </w:rPr>
          </w:pPr>
        </w:p>
      </w:tc>
      <w:tc>
        <w:tcPr>
          <w:tcW w:w="3384" w:type="dxa"/>
          <w:vMerge w:val="restart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深圳市金玺智控技术有限公司</w:t>
          </w:r>
        </w:p>
      </w:tc>
      <w:tc>
        <w:tcPr>
          <w:tcW w:w="2136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文件编号</w:t>
          </w:r>
        </w:p>
      </w:tc>
      <w:tc>
        <w:tcPr>
          <w:tcW w:w="2564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</w:p>
      </w:tc>
    </w:tr>
    <w:tr>
      <w:tblPrEx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97" w:hRule="atLeast"/>
      </w:trPr>
      <w:tc>
        <w:tcPr>
          <w:tcW w:w="1914" w:type="dxa"/>
          <w:vMerge w:val="continue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</w:p>
      </w:tc>
      <w:tc>
        <w:tcPr>
          <w:tcW w:w="3384" w:type="dxa"/>
          <w:vMerge w:val="continue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</w:p>
      </w:tc>
      <w:tc>
        <w:tcPr>
          <w:tcW w:w="2136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文件版本</w:t>
          </w:r>
        </w:p>
      </w:tc>
      <w:tc>
        <w:tcPr>
          <w:tcW w:w="2564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A/0</w:t>
          </w:r>
        </w:p>
      </w:tc>
    </w:tr>
    <w:tr>
      <w:tblPrEx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472" w:hRule="atLeast"/>
      </w:trPr>
      <w:tc>
        <w:tcPr>
          <w:tcW w:w="1914" w:type="dxa"/>
          <w:vAlign w:val="center"/>
        </w:tcPr>
        <w:p>
          <w:pPr>
            <w:spacing w:line="360" w:lineRule="auto"/>
            <w:ind w:firstLine="482" w:firstLineChars="200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文件名称</w:t>
          </w:r>
        </w:p>
      </w:tc>
      <w:tc>
        <w:tcPr>
          <w:tcW w:w="3384" w:type="dxa"/>
          <w:vAlign w:val="center"/>
        </w:tcPr>
        <w:p>
          <w:pPr>
            <w:jc w:val="center"/>
            <w:rPr>
              <w:rFonts w:hint="default" w:ascii="宋体" w:hAnsi="宋体" w:eastAsia="宋体" w:cs="宋体"/>
              <w:b/>
              <w:bCs/>
              <w:sz w:val="24"/>
              <w:lang w:val="en-US" w:eastAsia="zh-CN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lang w:val="en-US" w:eastAsia="zh-CN"/>
            </w:rPr>
            <w:t>触摸屏和PLC或单片机通讯</w:t>
          </w:r>
        </w:p>
      </w:tc>
      <w:tc>
        <w:tcPr>
          <w:tcW w:w="2136" w:type="dxa"/>
          <w:vAlign w:val="center"/>
        </w:tcPr>
        <w:p>
          <w:pPr>
            <w:spacing w:line="360" w:lineRule="auto"/>
            <w:jc w:val="center"/>
            <w:rPr>
              <w:rFonts w:ascii="宋体" w:hAnsi="宋体" w:cs="宋体"/>
              <w:b/>
              <w:bCs/>
              <w:sz w:val="24"/>
            </w:rPr>
          </w:pPr>
          <w:r>
            <w:rPr>
              <w:rFonts w:hint="eastAsia" w:ascii="宋体" w:hAnsi="宋体" w:cs="宋体"/>
              <w:b/>
              <w:bCs/>
              <w:sz w:val="24"/>
            </w:rPr>
            <w:t>生效日期</w:t>
          </w:r>
        </w:p>
      </w:tc>
      <w:tc>
        <w:tcPr>
          <w:tcW w:w="2564" w:type="dxa"/>
          <w:vAlign w:val="center"/>
        </w:tcPr>
        <w:p>
          <w:pPr>
            <w:tabs>
              <w:tab w:val="center" w:pos="1198"/>
              <w:tab w:val="right" w:pos="2276"/>
            </w:tabs>
            <w:spacing w:line="360" w:lineRule="auto"/>
            <w:jc w:val="left"/>
            <w:rPr>
              <w:rFonts w:hint="eastAsia" w:ascii="宋体" w:hAnsi="宋体" w:cs="宋体" w:eastAsiaTheme="minorEastAsia"/>
              <w:b/>
              <w:bCs/>
              <w:sz w:val="24"/>
              <w:lang w:eastAsia="zh-CN"/>
            </w:rPr>
          </w:pPr>
          <w:r>
            <w:rPr>
              <w:rFonts w:hint="eastAsia" w:ascii="宋体" w:hAnsi="宋体" w:cs="宋体"/>
              <w:b/>
              <w:bCs/>
              <w:sz w:val="24"/>
              <w:lang w:eastAsia="zh-CN"/>
            </w:rPr>
            <w:tab/>
          </w:r>
          <w:r>
            <w:rPr>
              <w:rFonts w:hint="eastAsia" w:ascii="宋体" w:hAnsi="宋体" w:cs="宋体"/>
              <w:b/>
              <w:bCs/>
              <w:sz w:val="24"/>
            </w:rPr>
            <w:t>2021-7-</w:t>
          </w:r>
          <w:r>
            <w:rPr>
              <w:rFonts w:hint="eastAsia" w:ascii="宋体" w:hAnsi="宋体" w:cs="宋体"/>
              <w:b/>
              <w:bCs/>
              <w:sz w:val="24"/>
              <w:lang w:val="en-US" w:eastAsia="zh-CN"/>
            </w:rPr>
            <w:t>7</w:t>
          </w:r>
          <w:r>
            <w:rPr>
              <w:rFonts w:hint="eastAsia" w:ascii="宋体" w:hAnsi="宋体" w:cs="宋体"/>
              <w:b/>
              <w:bCs/>
              <w:sz w:val="24"/>
              <w:lang w:eastAsia="zh-CN"/>
            </w:rPr>
            <w:tab/>
          </w:r>
        </w:p>
      </w:tc>
    </w:tr>
  </w:tbl>
  <w:p>
    <w:pPr>
      <w:pStyle w:val="3"/>
      <w:rPr>
        <w:rFonts w:hint="default"/>
        <w:lang w:val="en-US" w:eastAsia="zh-CN"/>
      </w:rPr>
    </w:pPr>
    <w:r>
      <w:rPr>
        <w:rFonts w:hint="eastAsia"/>
        <w:lang w:val="en-US" w:eastAsia="zh-CN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A233C9"/>
    <w:rsid w:val="00DF3269"/>
    <w:rsid w:val="038272E0"/>
    <w:rsid w:val="04BE1A1B"/>
    <w:rsid w:val="09FF2B1F"/>
    <w:rsid w:val="0A021F2E"/>
    <w:rsid w:val="0CA233C9"/>
    <w:rsid w:val="10F7015B"/>
    <w:rsid w:val="11EB0738"/>
    <w:rsid w:val="163714B7"/>
    <w:rsid w:val="18276C02"/>
    <w:rsid w:val="1E0068A1"/>
    <w:rsid w:val="22D622C7"/>
    <w:rsid w:val="266D2F7E"/>
    <w:rsid w:val="26803300"/>
    <w:rsid w:val="27233601"/>
    <w:rsid w:val="2CA212D1"/>
    <w:rsid w:val="2FA86931"/>
    <w:rsid w:val="326D1CBA"/>
    <w:rsid w:val="33244988"/>
    <w:rsid w:val="349F4C0E"/>
    <w:rsid w:val="35CB1129"/>
    <w:rsid w:val="36D16BD5"/>
    <w:rsid w:val="383E780B"/>
    <w:rsid w:val="41E36D67"/>
    <w:rsid w:val="438D0328"/>
    <w:rsid w:val="46155BB9"/>
    <w:rsid w:val="47B658DC"/>
    <w:rsid w:val="4CC35BEB"/>
    <w:rsid w:val="501B7BB1"/>
    <w:rsid w:val="62406C30"/>
    <w:rsid w:val="64F701DB"/>
    <w:rsid w:val="6A116D0D"/>
    <w:rsid w:val="6A9D7339"/>
    <w:rsid w:val="748F3650"/>
    <w:rsid w:val="74B45395"/>
    <w:rsid w:val="7A864EEC"/>
    <w:rsid w:val="7C113A3E"/>
    <w:rsid w:val="7C1A380B"/>
    <w:rsid w:val="7D0E3BC5"/>
    <w:rsid w:val="7F43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uiPriority w:val="0"/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2">
    <w:name w:val="51"/>
    <w:basedOn w:val="8"/>
    <w:qFormat/>
    <w:uiPriority w:val="0"/>
    <w:rPr>
      <w:rFonts w:hint="default" w:ascii="Times New Roman" w:hAnsi="Times New Roman" w:cs="Times New Roman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2021-06-25T11:28:00Z</dcterms:created>
  <dc:creator>DELL</dc:creator>
  <cp:lastModifiedBy>hp</cp:lastModifiedBy>
  <dcterms:modified xsi:type="dcterms:W3CDTF">2022-02-18T05:53:02Z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18E6CF2F75E84A4B9C27ACE550F81FF5</vt:lpwstr>
  </property>
</Properties>
</file>